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2013年3月21日，省**教育督导委员会、省教育厅制发皖教督[2013]6号文件授予宣城市教育体育局 2012年度主要工作目标管理督导考核综合奖 。</w:t>
      </w:r>
    </w:p>
    <w:p>
      <w:pPr>
        <w:bidi w:val="0"/>
        <w:spacing w:after="280" w:afterAutospacing="1"/>
      </w:pPr>
      <w:r>
        <w:t>宣传工作，制定、实施宣传工作方案；召开了教师会、班主任会、学生家长座谈会，具体介绍宣州区义务教育发展情况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宣城市第三小学</w:t>
      </w:r>
      <w:r>
        <w:fldChar w:fldCharType="end"/>
      </w:r>
      <w:r>
        <w:t>，宣传义务教育均衡发展知识，同时征求教师和家长对这项工作的意见和建议；各班召开了一次主题班会，出了一次主题黑板报；给</w:t>
      </w:r>
    </w:p>
    <w:p>
      <w:pPr>
        <w:bidi w:val="0"/>
        <w:spacing w:after="280" w:afterAutospacing="1"/>
      </w:pPr>
      <w:r>
        <w:rPr>
          <w:rtl w:val="0"/>
        </w:rPr>
        <w:t>2012年年底，省**教育督导委员会、省教育厅比照省**对市**年度目标管理绩效考核设奖办法，将全省16个市按照上年度人均GDP水平划分为四类地区，宣城教体局荣获2012年度主要工作目标管理督导考核综合奖，对各市教育局2012年度主要工作目标管理督导工作进行了考核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"http://0563edu.com/a/xuanchengjiaoyu/2013/0328/1401.html"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联系宣城中公1.咨询电话：,宣城</w:t>
      </w:r>
      <w:r>
        <w:rPr>
          <w:b/>
          <w:bCs/>
          <w:rtl w:val="0"/>
        </w:rPr>
        <w:fldChar w:fldCharType="end"/>
      </w:r>
      <w:r>
        <w:rPr>
          <w:rtl w:val="0"/>
        </w:rPr>
        <w:t>，。</w:t>
      </w:r>
    </w:p>
    <w:p w:rsidR="00A77B3E">
      <w:pPr>
        <w:bidi w:val="0"/>
        <w:spacing w:after="280" w:afterAutospacing="1"/>
        <w:rPr>
          <w:rFonts w:eastAsia="SimSun"/>
          <w:lang w:eastAsia="zh-CN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