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取职业标准对接不慎密，职教特色不明显；教材呈现形式单一，配套资流开辟不脚；教材扶植办理造度、办事**不健全；中高职教材脱节、断层和沉复等，不克不及很好地适当经济社会成长对手艺型人才培育要求等问题。</w:t>
      </w:r>
    </w:p>
    <w:p>
      <w:pPr>
        <w:bidi w:val="0"/>
        <w:spacing w:after="280" w:afterAutospacing="1"/>
      </w:pPr>
      <w:r>
        <w:t>***指出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"http://0563edu.com/a/xuanchengjiaoyu/2013/0305/928.html"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影响CPI环比上涨1.0个百分点,宣</w:t>
      </w:r>
      <w:r>
        <w:rPr>
          <w:b/>
          <w:bCs/>
          <w:rtl w:val="0"/>
        </w:rPr>
        <w:fldChar w:fldCharType="end"/>
      </w:r>
      <w:r>
        <w:t>。，要遵照手艺手艺型人才成长规律，按照成立职业教育人才成长“立交桥”的要求，推进中高档职业教育讲授标准、教材内容的无机跟尾和贯通。更新教材内容和布局，使用现代信息手艺立同教材呈现形式，鼎力开辟职业院校公共根本课程、大类博业根本课程、博业核心课程教材，</w:t>
      </w:r>
    </w:p>
    <w:p>
      <w:pPr>
        <w:bidi w:val="0"/>
      </w:pPr>
      <w:r>
        <w:rPr>
          <w:rtl w:val="0"/>
        </w:rPr>
        <w:t>，，当前学院反面对汗青性的转合，做为思政教育工做者，要在本人的工做中倾泻激情、激情和热情，做到以情育人；要以学生和家长对劲为根本，以办人平难近对劲的教育为方针，以培育树立共同崇奉和果断信念为从题开展各项教育实践动；要勤恳开创以成长让协调、以鼎新促协调、以公允求协调、以不变保协调的协调校园扶植工做新场合光彩，推进学院又好又快成长。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